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Казым за 202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zh-CN"/>
        </w:rPr>
        <w:t>2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Казым  (далее - поселения) за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3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(приложение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Информация о структуре и динамике налоговых расходов поселения по видам налогов за 20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20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zh-CN"/>
        </w:rPr>
        <w:t>20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zh-CN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2021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2022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5 408,4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5 513,4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6 119,8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302,9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356,9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440,1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222,2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117,8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123,3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6,5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73,2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60,6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Казым от 17.11.2010 года № 32 «О земельном налоге на территории сельского поселения Казым»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223,9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270,9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363,1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204,8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121,0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134,0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305,9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447,0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503,6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83,8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94,0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158,2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Казым от 11.11.2014 года № 32 «Об утверждении Положения о налоге на имущество физических лиц на  территории сельского поселения Казым»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79,0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86,0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292,6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108,9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89,5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94,3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91,5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48,7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20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</w:t>
      </w:r>
      <w:r>
        <w:rPr>
          <w:rFonts w:hint="default"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  <w:t>1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 xml:space="preserve">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2022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302,9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356,9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440,1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80,9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26,7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 xml:space="preserve"> 85,9</w:t>
            </w:r>
          </w:p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24,1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73,1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216,9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106,2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85,1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216,0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263,0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73,7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354,0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80,4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229,8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127,8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134,6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8,0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133,3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162,5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приходится на льготы, технического  характера, их доля в общем объеме предоставленных налоговых льгот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80,4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, на втором месте стимулирующие налоговые льготы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16,6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%). Налоговые льготы социальной направленности занимают лишь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3,0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% в общем объеме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предоставленных налоговых льгот на территории поселения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решением Совета депутатов сельского поселения Казым от 17.11.2010 года № 32 «О земельном налоге на территории сельского поселения Казым»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Оценка эффективности проведена кураторами налоговых расходов поселения по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6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видам налоговых расходов (1 стимулирующему, 3 техническим и 2 социальным), распределенным по 4 муниципальным программам в соответствии с показателями достижения целей 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видам непрограммных налоговых расхода, отвечающему целям социально-экономического развития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до 2030 года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 в рамках переданных полномочий (таблица 3,4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 приложения 1 к аналитической записке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право на применение льгот по земельному налогу предоставлено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льготным категориям налогоплательщиков. Фактически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году льготами воспользовались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льготных категорий, из них: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налогоплательщиков -организаций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7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единиц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льготных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налогоплательщиков - физических лиц - 61 единица (1 льготная категория).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Казым «Реализация полномочий органов местного самоуправления сельского поселения Казым»,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Казым, включены 2 вида технических налоговых расходов, 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на протяжении 5-летнего периода не был востребован налогоплательщиком, по причине отсутствия земельных участков в собственности. В тоже время потенциальным получателем даной налоговой льготы является 1 налогоплательщик.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-востребованность  льготы за период 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имеет положительную динамику (в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-2019 году льготой ежегодно пользовались 2 налогоплательщика, в 2020 году - 4 налогоплательщика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в 2021 году - 4 налогоплательщика, в 2022 году - 5 налогоплательщиков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общий объем налоговой льготы за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 составил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354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 тыс.рублей, что соответствует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97,5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видов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налоговых расходов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«Освобождение от уплаты налога ветеранов и инвалидов Великой Отечественной войны».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«Освобождение от уплаты налога социально ориентированных некоммерческих организаций». 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Не был востребован налогоплательщиками более 5 лет.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муниципальной программы: «Содействие развитию жилищного строительства на территории Белоярского района». Общая сумма налоговой льготы составила 1,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тыс.рублей или 0,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Востребованность предоставленной налоговой льготы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 имеет положительную динамику (в 2018 году - 56 налогоплательщиков; в 2019 году - 53 налогоплательщика, в 2020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году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-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61 налогоплательщик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;  в 2021 -2022 годах - 61 налогоплательщик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 относятся </w:t>
      </w:r>
      <w:r>
        <w:rPr>
          <w:rFonts w:hint="default" w:ascii="Times New Roman" w:hAnsi="Times New Roman" w:eastAsia="Times New Roman" w:cs="Times New Roman"/>
          <w:i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- 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направлен на развитие экономики поселения, улучшение делового климата, поддержку реализуемых и планируемых к реализации инвестиционных проектов. В 2022 году льгота была не востребована по причине отсутствия заявителей. Учитывая направленность налоговой льготы, возможную востребовательность в последующие налоговые периоды, куратором налогового расхода предлагается сохранить налоговый расход.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 xml:space="preserve"> Налоговый расход «Установление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имеет стабильную динамику (на протяжении пяти лет льготой пользу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тся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одно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социально-значим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учреждени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поселения). Общая сумма налоговой льготы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за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2022 год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6,6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1,8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предложено сохранить вышеуказанный налоговый расход с целью обеспечения потребностей населения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u w:val="single"/>
          <w:lang w:val="ru-RU" w:eastAsia="zh-CN"/>
        </w:rPr>
        <w:t>- Налоговый расход «</w:t>
      </w:r>
      <w:r>
        <w:rPr>
          <w:rFonts w:hint="default" w:ascii="Times New Roman" w:hAnsi="Times New Roman" w:eastAsia="Times New Roman"/>
          <w:kern w:val="2"/>
          <w:sz w:val="24"/>
          <w:szCs w:val="24"/>
          <w:u w:val="single"/>
          <w:lang w:val="ru-RU" w:eastAsia="zh-CN"/>
        </w:rPr>
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информатики»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(куратор - Отдел по информационным ресурсам и  защите информации 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администрации Белоярского района</w:t>
      </w:r>
      <w:r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  <w:t>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установлен на территории района в соответствии с 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 с целью обеспечения развития отрасли информационных технологий в Российской Федерации. Вступил в силу с 1 января 2022 года, с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оответствует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одной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из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цел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>Стратеги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 xml:space="preserve"> социально-экономического развития Белоярского района до 2030 года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- «Внедрение информационно - коммуникационных технологий». В 2022 году данной  налоговой льготой воспользовались 1 налогоплательщик.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Общая сумма налоговой льготы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за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2022 год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1,2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0,3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iCs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Учитывая направленность налоговой льготы к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уратором налогового расхода (Отделом по информационным ресурсам и защите информации администрации Белоярского района) налоговый расход предлагается сохранить.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Казым от 11.11.2014 года № 32 «Об утверждении Положения о налоге на имущество физических лиц на  территории сельского поселения Казым»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приложения 1 к аналитической записке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Белоярского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района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». 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остребованность данного налогового расхода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имеет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положительную динамику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( в 2017 году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льготой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воспользовались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- 27 налогоплательщиков; в 2018 году - 23 налогоплательщика, в 2019 году - 21 налогоплательщик, в 2020 году - 19 налогоплательщиков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в 2021 году - 37 налогоплательщика, в 2022 году - 47 налогоплательщиков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). Общая сумма налоговой льготы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,00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16,9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ind w:left="0" w:leftChars="0" w:firstLine="709" w:firstLineChars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«Развитие малого и среднего предпринимательства  и туризма в Белоярском районе»,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и  объектов 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 имеет положительную динамику (в 2018 году льготой воспользовалось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налогоплательщиков, в 2019 году -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налогоплательщиков, в 2020 году -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налогоплательщик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в 2021 году - 4 налогоплательщика, в 2022 году - 4 налогоплательщика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). Общая сумма налоговой льготы составила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64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,00 тыс.рублей или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83,1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left="0" w:leftChars="0" w:firstLine="660" w:firstLineChars="275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С 2017 года понижающая ставка, установленная на территории поселения в отношении объектов налогообложения,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включенн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ых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П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еречень, определяемый в соответствии с пунктом 7 статьи 378.2 Налогового кодекса Российской Федерации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в отношении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 xml:space="preserve"> объектов налогообложения, предусмотренных абзацем вторым пункта 10 статьи 378.2 Налогового кодекса Российской Федерации, а также  объектов налогообложения, кадастровая стоимость каждого из которых превышает 300 миллионов рублей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составляла 1 %.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lang w:val="ru" w:eastAsia="ru-RU" w:bidi="ar-SA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ru" w:eastAsia="ru-RU" w:bidi="ar-SA"/>
        </w:rPr>
        <w:t>Ханты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ru-RU" w:eastAsia="ru-RU" w:bidi="ar-SA"/>
        </w:rPr>
        <w:t>-Мансийского автономного округа-Югры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en-US" w:eastAsia="ru-RU" w:bidi="ar-SA"/>
        </w:rPr>
        <w:t xml:space="preserve">, представительными органами поселения принято решение о снижении ставки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color w:val="auto"/>
          <w:sz w:val="24"/>
          <w:szCs w:val="24"/>
          <w:highlight w:val="none"/>
          <w:lang w:val="en-US" w:eastAsia="ru-RU" w:bidi="ar-SA"/>
        </w:rPr>
        <w:t xml:space="preserve">до 0,8 %  при исчислении </w:t>
      </w:r>
      <w:r>
        <w:rPr>
          <w:rFonts w:ascii="Times New Roman" w:hAnsi="Times New Roman"/>
          <w:b w:val="0"/>
          <w:bCs w:val="0"/>
          <w:kern w:val="0"/>
          <w:sz w:val="24"/>
          <w:szCs w:val="20"/>
        </w:rPr>
        <w:t>налога на имущество физических лиц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0"/>
          <w:lang w:val="ru-RU"/>
        </w:rPr>
        <w:t xml:space="preserve"> по вышеуказанным объектам</w:t>
      </w:r>
      <w:r>
        <w:rPr>
          <w:rFonts w:ascii="Times New Roman" w:hAnsi="Times New Roman"/>
          <w:b w:val="0"/>
          <w:bCs w:val="0"/>
          <w:kern w:val="0"/>
          <w:sz w:val="24"/>
          <w:szCs w:val="20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0"/>
          <w:lang w:val="ru-RU"/>
        </w:rPr>
        <w:t>за</w:t>
      </w:r>
      <w:r>
        <w:rPr>
          <w:rFonts w:hint="default" w:ascii="Times New Roman" w:hAnsi="Times New Roman"/>
          <w:b w:val="0"/>
          <w:bCs w:val="0"/>
          <w:kern w:val="0"/>
          <w:sz w:val="24"/>
          <w:szCs w:val="20"/>
          <w:lang w:val="ru-RU"/>
        </w:rPr>
        <w:t xml:space="preserve"> налоговый период 2022 - 2023 годов. За налоговый период 2024 года и последующие налоговые периоды понижающая ставка по налогу будет прежней - 1 процент.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году государственной (муниципальной) поддержкой в виде налоговых расходов на территории сельского поселения Казым воспользовались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налогоплательщиков  - организаций, относящихся к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льготным категориям и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112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налогоплательщиков - физических лиц, относящихся к 3 льготным категориям.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видов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по земельному налогу -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На протяжении более пяти </w:t>
      </w:r>
      <w:r>
        <w:rPr>
          <w:rFonts w:ascii="Times New Roman" w:hAnsi="Times New Roman" w:eastAsia="Calibri" w:cs="Times New Roman"/>
          <w:sz w:val="24"/>
          <w:szCs w:val="24"/>
          <w:lang w:val="ru-RU" w:eastAsia="zh-CN"/>
        </w:rPr>
        <w:t>лет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из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9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видов налоговых расходов поселения по земельному налогу востребованными оказалось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4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налоговых расхода (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1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технически</w:t>
      </w:r>
      <w:r>
        <w:rPr>
          <w:rFonts w:ascii="Times New Roman" w:hAnsi="Times New Roman" w:eastAsia="Calibri" w:cs="Times New Roman"/>
          <w:sz w:val="24"/>
          <w:szCs w:val="24"/>
          <w:lang w:val="ru-RU" w:eastAsia="zh-CN"/>
        </w:rPr>
        <w:t>й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и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стимулирующих); не востребованными  -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5 налоговых расхода (2 социальных, 1 стимулирующий и 2 технических). Налоговые расходы по налогу на имущество физических лиц востребованы в полном объеме.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Все налоговые расходы поселения соответствуют целям муниципальных программ 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, муниципальной программе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сельского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поселения Казым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Сводный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отчет об оценке налоговый расходов поселения за 2022 год представлен в приложении 2 к настоящей аналитической записке.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предлагается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при формировании основных направлений налоговой и бюджетной политики поселения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2024 год и плановый период 2025 и 2026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годов,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налоговые расходы,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установленные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 территории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сельского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поселения Казым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    О.Н.Орлова</w:t>
      </w:r>
    </w:p>
    <w:p/>
    <w:p/>
    <w:p/>
    <w:p/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/>
    <w:p>
      <w:pPr>
        <w:spacing w:after="0" w:line="240" w:lineRule="auto"/>
        <w:ind w:firstLine="1012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Казым за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Казым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Казым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сельского поселения Казым»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2</w:t>
            </w: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63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3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61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 xml:space="preserve">Налоговый расход  результативный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вступил в силу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с 01 января 2021 года,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оцениваться будет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в последующие периоды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3.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 w:eastAsia="zh-CN"/>
              </w:rPr>
      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>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(Указ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(вступил в силу с 1 января 2022 года)</w:t>
            </w:r>
          </w:p>
        </w:tc>
      </w:tr>
    </w:tbl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8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37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 результативный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7</w:t>
            </w:r>
            <w:r>
              <w:rPr>
                <w:rFonts w:hint="default" w:ascii="Times New Roman" w:hAnsi="Times New Roman" w:eastAsia="SimSun" w:cs="Times New Roman"/>
                <w:color w:val="000000"/>
                <w:kern w:val="2"/>
                <w:sz w:val="18"/>
                <w:szCs w:val="18"/>
                <w:lang w:val="ru-RU" w:eastAsia="zh-CN" w:bidi="hi-IN"/>
              </w:rPr>
              <w:t>8</w:t>
            </w: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104290"/>
    <w:rsid w:val="00104F89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609B0"/>
    <w:rsid w:val="00285CC1"/>
    <w:rsid w:val="00290F09"/>
    <w:rsid w:val="002B0F96"/>
    <w:rsid w:val="002F5A38"/>
    <w:rsid w:val="0031615F"/>
    <w:rsid w:val="0031637F"/>
    <w:rsid w:val="003558D0"/>
    <w:rsid w:val="00387E1A"/>
    <w:rsid w:val="003E3165"/>
    <w:rsid w:val="00400B9E"/>
    <w:rsid w:val="004320BC"/>
    <w:rsid w:val="00446EF3"/>
    <w:rsid w:val="00462D46"/>
    <w:rsid w:val="004A47B6"/>
    <w:rsid w:val="004B5067"/>
    <w:rsid w:val="005239C9"/>
    <w:rsid w:val="00535A97"/>
    <w:rsid w:val="00542593"/>
    <w:rsid w:val="00595280"/>
    <w:rsid w:val="005F40D1"/>
    <w:rsid w:val="006D0150"/>
    <w:rsid w:val="006D0A19"/>
    <w:rsid w:val="006F0E9F"/>
    <w:rsid w:val="00712F7D"/>
    <w:rsid w:val="0074349C"/>
    <w:rsid w:val="00746CED"/>
    <w:rsid w:val="00752786"/>
    <w:rsid w:val="007751FF"/>
    <w:rsid w:val="007808FD"/>
    <w:rsid w:val="007A2BAA"/>
    <w:rsid w:val="007D378A"/>
    <w:rsid w:val="007D69B7"/>
    <w:rsid w:val="007E4F10"/>
    <w:rsid w:val="007E5510"/>
    <w:rsid w:val="00804E6D"/>
    <w:rsid w:val="0084247E"/>
    <w:rsid w:val="0084368D"/>
    <w:rsid w:val="00854151"/>
    <w:rsid w:val="00863315"/>
    <w:rsid w:val="00896751"/>
    <w:rsid w:val="008A3D47"/>
    <w:rsid w:val="008B0696"/>
    <w:rsid w:val="008C2388"/>
    <w:rsid w:val="00927ED4"/>
    <w:rsid w:val="0096250A"/>
    <w:rsid w:val="00970EC6"/>
    <w:rsid w:val="00983026"/>
    <w:rsid w:val="00995FB3"/>
    <w:rsid w:val="00996191"/>
    <w:rsid w:val="009975DC"/>
    <w:rsid w:val="00A17152"/>
    <w:rsid w:val="00A25DF4"/>
    <w:rsid w:val="00A56848"/>
    <w:rsid w:val="00AC6386"/>
    <w:rsid w:val="00B35820"/>
    <w:rsid w:val="00B47E87"/>
    <w:rsid w:val="00BA7497"/>
    <w:rsid w:val="00BD03F3"/>
    <w:rsid w:val="00BD0B13"/>
    <w:rsid w:val="00BD5612"/>
    <w:rsid w:val="00C300D6"/>
    <w:rsid w:val="00C56EF5"/>
    <w:rsid w:val="00C8556F"/>
    <w:rsid w:val="00CE2AF1"/>
    <w:rsid w:val="00CE7C97"/>
    <w:rsid w:val="00CF4F20"/>
    <w:rsid w:val="00D10C86"/>
    <w:rsid w:val="00D57646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C0575"/>
    <w:rsid w:val="035C3621"/>
    <w:rsid w:val="04174C51"/>
    <w:rsid w:val="06381B55"/>
    <w:rsid w:val="06424410"/>
    <w:rsid w:val="08263BCE"/>
    <w:rsid w:val="085E3B07"/>
    <w:rsid w:val="09932E47"/>
    <w:rsid w:val="0A8C6A83"/>
    <w:rsid w:val="0C5C6390"/>
    <w:rsid w:val="0D037857"/>
    <w:rsid w:val="1089443B"/>
    <w:rsid w:val="11A762A6"/>
    <w:rsid w:val="13D14BAC"/>
    <w:rsid w:val="15265DDB"/>
    <w:rsid w:val="196569E3"/>
    <w:rsid w:val="19B21776"/>
    <w:rsid w:val="1B3176B2"/>
    <w:rsid w:val="1DCF3619"/>
    <w:rsid w:val="1FE80211"/>
    <w:rsid w:val="2202254F"/>
    <w:rsid w:val="22321B66"/>
    <w:rsid w:val="23102973"/>
    <w:rsid w:val="25A31840"/>
    <w:rsid w:val="26101748"/>
    <w:rsid w:val="285C0647"/>
    <w:rsid w:val="296D4D6F"/>
    <w:rsid w:val="2D6D6669"/>
    <w:rsid w:val="2D876DDF"/>
    <w:rsid w:val="2DAD3059"/>
    <w:rsid w:val="2E900025"/>
    <w:rsid w:val="324B2747"/>
    <w:rsid w:val="346D7BE4"/>
    <w:rsid w:val="34E3602E"/>
    <w:rsid w:val="35422940"/>
    <w:rsid w:val="36C50204"/>
    <w:rsid w:val="3A7613BA"/>
    <w:rsid w:val="3B080B51"/>
    <w:rsid w:val="3BE31D79"/>
    <w:rsid w:val="3D942549"/>
    <w:rsid w:val="3E557459"/>
    <w:rsid w:val="3F14163A"/>
    <w:rsid w:val="414D1A59"/>
    <w:rsid w:val="418B038B"/>
    <w:rsid w:val="41CC5206"/>
    <w:rsid w:val="42105636"/>
    <w:rsid w:val="42DF72C4"/>
    <w:rsid w:val="461203B7"/>
    <w:rsid w:val="46FD51CD"/>
    <w:rsid w:val="49E34691"/>
    <w:rsid w:val="4A58274B"/>
    <w:rsid w:val="4BB85213"/>
    <w:rsid w:val="4BC16F93"/>
    <w:rsid w:val="4DD62421"/>
    <w:rsid w:val="4F167DB2"/>
    <w:rsid w:val="4FAC524D"/>
    <w:rsid w:val="4FAD3C82"/>
    <w:rsid w:val="50AB6B90"/>
    <w:rsid w:val="50B65DD0"/>
    <w:rsid w:val="51900AD9"/>
    <w:rsid w:val="5266378A"/>
    <w:rsid w:val="52E136CA"/>
    <w:rsid w:val="54096D6B"/>
    <w:rsid w:val="54EF50D9"/>
    <w:rsid w:val="56C67A8A"/>
    <w:rsid w:val="5744683D"/>
    <w:rsid w:val="58317396"/>
    <w:rsid w:val="590E1EE4"/>
    <w:rsid w:val="59A61A86"/>
    <w:rsid w:val="5A9A7390"/>
    <w:rsid w:val="5D6B585B"/>
    <w:rsid w:val="5D940405"/>
    <w:rsid w:val="5E1B53C4"/>
    <w:rsid w:val="5EBF221E"/>
    <w:rsid w:val="5F074D23"/>
    <w:rsid w:val="60D40C75"/>
    <w:rsid w:val="64382979"/>
    <w:rsid w:val="644C4073"/>
    <w:rsid w:val="645E5B15"/>
    <w:rsid w:val="65A513D2"/>
    <w:rsid w:val="65D5358D"/>
    <w:rsid w:val="65E7464F"/>
    <w:rsid w:val="66336A98"/>
    <w:rsid w:val="667E2608"/>
    <w:rsid w:val="687E1912"/>
    <w:rsid w:val="68CA1F3D"/>
    <w:rsid w:val="6A685C55"/>
    <w:rsid w:val="6BDA7E70"/>
    <w:rsid w:val="6D45508E"/>
    <w:rsid w:val="6E3218B8"/>
    <w:rsid w:val="6F31748E"/>
    <w:rsid w:val="709A04DE"/>
    <w:rsid w:val="747B1D80"/>
    <w:rsid w:val="7A392E62"/>
    <w:rsid w:val="7AE830FB"/>
    <w:rsid w:val="7B5E2936"/>
    <w:rsid w:val="7BBD4E90"/>
    <w:rsid w:val="7C7A6A30"/>
    <w:rsid w:val="7CEA1EE7"/>
    <w:rsid w:val="7E6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3839</Words>
  <Characters>21886</Characters>
  <Lines>182</Lines>
  <Paragraphs>51</Paragraphs>
  <TotalTime>13</TotalTime>
  <ScaleCrop>false</ScaleCrop>
  <LinksUpToDate>false</LinksUpToDate>
  <CharactersWithSpaces>25674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2023-12-26T05:28:14Z</cp:lastPrinted>
  <dcterms:modified xsi:type="dcterms:W3CDTF">2023-12-26T05:28:19Z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C7807B8C6C3E4B4BA08B9FC6757C7338</vt:lpwstr>
  </property>
</Properties>
</file>